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jc w:val="center"/>
        <w:spacing w:after="100"/>
      </w:pPr>
      <w:r>
        <w:rPr>
          <w:b/>
          <w:sz w:val="36"/>
          <w:color w:val="013BB3"/>
        </w:rPr>
        <w:t xml:space="preserve">DELIVERY ORDER DATA SHEET</w:t>
      </w:r>
    </w:p>
    <w:p>
      <w:pPr>
        <w:jc w:val="center"/>
        <w:spacing w:after="100"/>
      </w:pPr>
      <w:r>
        <w:rPr>
          <w:b/>
          <w:sz w:val="18"/>
          <w:color w:val="D40505"/>
        </w:rPr>
        <w:t xml:space="preserve">Prepared with GainingDocx</w:t>
      </w:r>
    </w:p>
    <w:p>
      <w:pPr>
        <w:jc w:val="left"/>
        <w:spacing w:after="100"/>
      </w:pPr>
      <w:r>
        <w:rPr>
          <w:b/>
          <w:sz w:val="18"/>
          <w:color w:val="D40505"/>
        </w:rPr>
        <w:t xml:space="preserve">DOES NOT RELEASE CARGO. Only the carrier, NVOCC or authorized agent can issue a valid delivery order after all release conditions are satisfied.</w:t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DOCUMENT PARTICULARS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4200"/>
        <w:gridCol w:w="6300"/>
      </w:tblGrid>
      <w:tr>
        <w:tc>
          <w:tcPr>
            <w:tcW w:w="42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FIELD</w:t>
            </w:r>
          </w:p>
        </w:tc>
        <w:tc>
          <w:tcPr>
            <w:tcW w:w="63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ENTER / VERIFY VALUE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Delivery order number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Issue date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Issuing carrier / NVOCC / agent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B/L number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Manifest / booking reference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Consignee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Release cargo to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Ocean carrier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Vessel / voyage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Terminal / CFS / depot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Pickup / PIN / release reference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Valid from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Valid until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Customs release / entry reference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Release conditions / instructions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Authorized signatory / authentication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r>
        <w:br w:type="page"/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LINES / EQUIPMENT DETAILS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1740"/>
        <w:gridCol w:w="1740"/>
        <w:gridCol w:w="1740"/>
        <w:gridCol w:w="1740"/>
        <w:gridCol w:w="1740"/>
        <w:gridCol w:w="1800"/>
      </w:tblGrid>
      <w:tr>
        <w:tc>
          <w:tcPr>
            <w:tcW w:w="174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Container / unit</w:t>
            </w:r>
          </w:p>
        </w:tc>
        <w:tc>
          <w:tcPr>
            <w:tcW w:w="174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Seal</w:t>
            </w:r>
          </w:p>
        </w:tc>
        <w:tc>
          <w:tcPr>
            <w:tcW w:w="174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Package type</w:t>
            </w:r>
          </w:p>
        </w:tc>
        <w:tc>
          <w:tcPr>
            <w:tcW w:w="174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Packages</w:t>
            </w:r>
          </w:p>
        </w:tc>
        <w:tc>
          <w:tcPr>
            <w:tcW w:w="174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Gross kg</w:t>
            </w:r>
          </w:p>
        </w:tc>
        <w:tc>
          <w:tcPr>
            <w:tcW w:w="18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Release status / depot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pPr>
        <w:jc w:val="left"/>
        <w:spacing w:after="100"/>
      </w:pPr>
      <w:r>
        <w:rPr>
          <w:sz w:val="16"/>
          <w:color w:val="566273"/>
        </w:rPr>
        <w:t xml:space="preserve">Review, authorize and retain supporting commercial, carrier and customs records before operational use.</w:t>
      </w:r>
    </w:p>
    <w:sectPr>
      <w:pgSz w:w="11906" w:h="16838"/>
      <w:pgMar w:top="720" w:right="540" w:bottom="720" w:left="54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</w:rPr>
    </w:r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>
  <Application>GainingDocx</Application>
</Properties>
</file>

<file path=docProps/core.xml><?xml version="1.0" encoding="utf-8"?>
<cp:coreProperties xmlns:cp="http://schemas.openxmlformats.org/package/2006/metadata/core-properties" xmlns:dc="http://purl.org/dc/elements/1.1/">
  <dc:title>DELIVERY ORDER DATA SHEET</dc:title>
  <dc:creator>GainingDocx</dc:creator>
</cp:coreProperties>
</file>